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</w:pPr>
      <w:r>
        <w:drawing>
          <wp:inline xmlns:a="http://schemas.openxmlformats.org/drawingml/2006/main" xmlns:pic="http://schemas.openxmlformats.org/drawingml/2006/picture">
            <wp:extent cx="1170432" cy="5026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nityx-logo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0432" cy="502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/>
      </w:pPr>
      <w:r>
        <w:rPr>
          <w:rFonts w:ascii="Tahoma" w:hAnsi="Tahoma" w:eastAsia="Tahoma" w:cs="Tahoma"/>
          <w:b/>
          <w:color w:val="D81920"/>
          <w:sz w:val="18"/>
        </w:rPr>
        <w:t>DAY 2 · HR PAYROLL SANDBOX</w:t>
      </w:r>
    </w:p>
    <w:p>
      <w:pPr>
        <w:pStyle w:val="Title"/>
        <w:keepNext/>
      </w:pPr>
      <w:r>
        <w:t>Training Calculation &amp; Data-Handling Guide</w:t>
      </w:r>
    </w:p>
    <w:p>
      <w:pPr>
        <w:pStyle w:val="Subtitle"/>
        <w:keepNext/>
      </w:pPr>
      <w:r>
        <w:t>An operator reference for local payroll drafts, mapping controls, reconciliation evidence, and human review.</w:t>
      </w:r>
    </w:p>
    <w:p>
      <w:pPr>
        <w:spacing w:before="0" w:after="240"/>
      </w:pPr>
      <w:r>
        <w:rPr>
          <w:rFonts w:ascii="Tahoma" w:hAnsi="Tahoma" w:eastAsia="Tahoma" w:cs="Tahoma"/>
          <w:b/>
          <w:color w:val="626262"/>
          <w:sz w:val="19"/>
        </w:rPr>
        <w:t>Owner: HR/Payroll Training Lead  |  Version: 1.0  |  As of: 2026-08-09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40"/>
            </w:pPr>
            <w:r>
              <w:rPr>
                <w:rFonts w:ascii="Tahoma" w:hAnsi="Tahoma" w:eastAsia="Tahoma" w:cs="Tahoma"/>
                <w:b/>
                <w:color w:val="D81920"/>
                <w:sz w:val="16"/>
              </w:rPr>
              <w:t>DAY 2</w:t>
            </w:r>
          </w:p>
          <w:p>
            <w:pPr>
              <w:spacing w:after="0"/>
            </w:pPr>
            <w:r>
              <w:rPr>
                <w:rFonts w:ascii="Tahoma" w:hAnsi="Tahoma" w:eastAsia="Tahoma" w:cs="Tahoma"/>
                <w:b/>
                <w:color w:val="111111"/>
                <w:sz w:val="19"/>
              </w:rPr>
              <w:t>08:30–12:30</w:t>
            </w:r>
          </w:p>
        </w:tc>
        <w:tc>
          <w:tcPr>
            <w:tcW w:type="dxa" w:w="234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40"/>
            </w:pPr>
            <w:r>
              <w:rPr>
                <w:rFonts w:ascii="Tahoma" w:hAnsi="Tahoma" w:eastAsia="Tahoma" w:cs="Tahoma"/>
                <w:b/>
                <w:color w:val="D81920"/>
                <w:sz w:val="16"/>
              </w:rPr>
              <w:t>SCOPE</w:t>
            </w:r>
          </w:p>
          <w:p>
            <w:pPr>
              <w:spacing w:after="0"/>
            </w:pPr>
            <w:r>
              <w:rPr>
                <w:rFonts w:ascii="Tahoma" w:hAnsi="Tahoma" w:eastAsia="Tahoma" w:cs="Tahoma"/>
                <w:b/>
                <w:color w:val="111111"/>
                <w:sz w:val="19"/>
              </w:rPr>
              <w:t>Synthetic HR</w:t>
            </w:r>
          </w:p>
        </w:tc>
        <w:tc>
          <w:tcPr>
            <w:tcW w:type="dxa" w:w="234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40"/>
            </w:pPr>
            <w:r>
              <w:rPr>
                <w:rFonts w:ascii="Tahoma" w:hAnsi="Tahoma" w:eastAsia="Tahoma" w:cs="Tahoma"/>
                <w:b/>
                <w:color w:val="D81920"/>
                <w:sz w:val="16"/>
              </w:rPr>
              <w:t>EVIDENCE</w:t>
            </w:r>
          </w:p>
          <w:p>
            <w:pPr>
              <w:spacing w:after="0"/>
            </w:pPr>
            <w:r>
              <w:rPr>
                <w:rFonts w:ascii="Tahoma" w:hAnsi="Tahoma" w:eastAsia="Tahoma" w:cs="Tahoma"/>
                <w:b/>
                <w:color w:val="111111"/>
                <w:sz w:val="19"/>
              </w:rPr>
              <w:t>12 golden cases</w:t>
            </w:r>
          </w:p>
        </w:tc>
        <w:tc>
          <w:tcPr>
            <w:tcW w:type="dxa" w:w="234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40"/>
            </w:pPr>
            <w:r>
              <w:rPr>
                <w:rFonts w:ascii="Tahoma" w:hAnsi="Tahoma" w:eastAsia="Tahoma" w:cs="Tahoma"/>
                <w:b/>
                <w:color w:val="D81920"/>
                <w:sz w:val="16"/>
              </w:rPr>
              <w:t>HUMAN GATE</w:t>
            </w:r>
          </w:p>
          <w:p>
            <w:pPr>
              <w:spacing w:after="0"/>
            </w:pPr>
            <w:r>
              <w:rPr>
                <w:rFonts w:ascii="Tahoma" w:hAnsi="Tahoma" w:eastAsia="Tahoma" w:cs="Tahoma"/>
                <w:b/>
                <w:color w:val="111111"/>
                <w:sz w:val="19"/>
              </w:rPr>
              <w:t>HR/Payroll/Finance</w:t>
            </w:r>
          </w:p>
        </w:tc>
      </w:tr>
    </w:tbl>
    <w:p>
      <w:pPr>
        <w:spacing w:after="200"/>
      </w:pPr>
    </w:p>
    <w:p>
      <w:pPr>
        <w:pStyle w:val="Heading1"/>
      </w:pPr>
      <w:r>
        <w:t>Supported scope and safe operating boundary</w:t>
      </w:r>
    </w:p>
    <w:p>
      <w:pPr>
        <w:keepNext/>
      </w:pPr>
      <w:r>
        <w:t>This guide supports a classroom prototype for fictional regular-monthly employees in the Bangkok 2026 training-rule scope. It produces draft calculations and review evidence only.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2C4C6"/>
          <w:left w:val="single" w:sz="18" w:space="0" w:color="D81920"/>
          <w:bottom w:val="single" w:sz="4" w:space="0" w:color="F2C4C6"/>
          <w:right w:val="single" w:sz="4" w:space="0" w:color="F2C4C6"/>
          <w:insideH w:val="single" w:sz="4" w:space="0" w:color="F2C4C6"/>
          <w:insideV w:val="single" w:sz="4" w:space="0" w:color="F2C4C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0F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40" w:after="40" w:line="276" w:lineRule="auto"/>
            </w:pPr>
            <w:r>
              <w:rPr>
                <w:rFonts w:ascii="Tahoma" w:hAnsi="Tahoma" w:eastAsia="Tahoma" w:cs="Tahoma"/>
                <w:b/>
                <w:color w:val="911015"/>
                <w:sz w:val="20"/>
                <w:cs/>
                <w:lang w:val="th-TH" w:eastAsia="th-TH" w:bidi="th-TH"/>
              </w:rPr>
              <w:t>คู่มือนี้เป็นแผนการสอนและชุด Workshop จำลองเท่านั้น ทุกแอป ไฟล์ และผลลัพธ์เป็น Classroom Prototype จากข้อมูลสังเคราะห์ ไม่ใช่ระบบ Payroll, Accounting, Storefront หรือเครื่องมือ Production และห้ามใช้กับงานจริง</w:t>
              <w:br/>
              <w:br/>
              <w:t>Classroom Prototype นี้ใช้ข้อมูลสังเคราะห์เพื่อการเรียนรู้เท่านั้น ไม่ใช่คำแนะนำด้านภาษีหรือกฎหมาย ตัวเลขภาษีและประกันสังคมเป็นประมาณการ ตลอดหลักสูตรห้ามจ่ายเงินจริง ส่งหรือมอบ Payslip ให้พนักงาน ยื่นแบบ นำส่งหน่วยงานรัฐ ส่งข้อมูลเข้าสู่ระบบหรือหน่วยงานใด หรือใช้ artifact ในกระบวนการ Payroll จริงโดยเด็ดขาด การตรวจของ HR/Payroll/Finance เป็นเพียงหลักฐานในชั้นเรียน และไม่อนุญาตให้นำ artifact ไปใช้ปฏิบัติงานจริง</w:t>
            </w:r>
          </w:p>
        </w:tc>
      </w:tr>
    </w:tbl>
    <w:p>
      <w:pPr>
        <w:spacing w:before="80" w:after="80"/>
      </w:pP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Use only synthetic employee codes, fictional names, and training amounts; never enter live identity, salary, bank, tax, or Social Security data.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Select an approved rule whose source URL, reviewer, province, class, and effective dates all match the draft period.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Treat every number as an estimate until HR/Payroll/Finance independently verifies the rules, mappings, evidence, and reconciliation.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Stop with a BLOCKED exception when a mapping, approval, source, date, evidence reference, supported class, or non-negative net result is missing.</w:t>
      </w:r>
    </w:p>
    <w:p>
      <w:r>
        <w:br w:type="page"/>
      </w:r>
    </w:p>
    <w:p>
      <w:pPr>
        <w:pStyle w:val="Heading1"/>
      </w:pPr>
      <w:r>
        <w:t>Source hierarchy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Approved local rule metadata in rules.json: scope, effective dates, reviewer, thresholds, rates, and earning/deduction mappings.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Revenue Department progressive PIT reference: https://www.rd.go.th/3558.html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Revenue Department withholding reference: https://www.rd.go.th/27714.html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Social Security Office reference: https://www.sso.go.th/wpr/main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Ministry of Labour reference: https://www.mol.go.th/labour-law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Personal Data Protection Committee reference: https://www.pdpc.or.th/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Independent expected results in test-cases.json. Do not derive expected values from the implementation under test.</w:t>
      </w:r>
    </w:p>
    <w:p>
      <w:pPr>
        <w:spacing w:before="120" w:after="120"/>
      </w:pPr>
      <w:r>
        <w:rPr>
          <w:rFonts w:ascii="Tahoma" w:hAnsi="Tahoma" w:eastAsia="Tahoma" w:cs="Tahoma"/>
          <w:b/>
          <w:color w:val="911015"/>
          <w:sz w:val="21"/>
        </w:rPr>
        <w:t>Conflict rule: stop and ask the HR/Payroll owner. Do not silently choose a convenient rate or threshold.</w:t>
      </w:r>
    </w:p>
    <w:p>
      <w:r>
        <w:br w:type="page"/>
      </w:r>
    </w:p>
    <w:p>
      <w:pPr>
        <w:pStyle w:val="Heading1"/>
      </w:pPr>
      <w:r>
        <w:t>Calculation and reconciliation model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Select the most specific approved rule that matches pay date, province, and employee class; otherwise block the draft.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Map every earning and deduction code. Any unmapped code becomes MISSING_CODE_MAPPING.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Annualize regular earnings across remaining periods and add irregular earnings once; carry approved YTD gross and withholding forward.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Calculate estimated PIT from the visible progressive brackets and estimated employee SSO from the visible rate and wage cap.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Reconcile gross pay minus total deductions to net pay at two decimal places; disclose every blocked row separately.</w:t>
      </w:r>
    </w:p>
    <w:p>
      <w:pPr>
        <w:pStyle w:val="Heading2"/>
      </w:pPr>
      <w:r>
        <w:t>Required mapping fields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1900"/>
        <w:gridCol w:w="3000"/>
        <w:gridCol w:w="266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19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Allowed value</w:t>
            </w:r>
          </w:p>
        </w:tc>
        <w:tc>
          <w:tcPr>
            <w:tcW w:type="dxa" w:w="30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Control question</w:t>
            </w:r>
          </w:p>
        </w:tc>
        <w:tc>
          <w:tcPr>
            <w:tcW w:type="dxa" w:w="26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Failure behavior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taxable_pit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Boolean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Does this code enter estimated PIT taxable income?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 if an earning code has no approved mapping.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sso_eligible</w:t>
            </w:r>
          </w:p>
        </w:tc>
        <w:tc>
          <w:tcPr>
            <w:tcW w:type="dxa" w:w="1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Boolean</w:t>
            </w:r>
          </w:p>
        </w:tc>
        <w:tc>
          <w:tcPr>
            <w:tcW w:type="dxa" w:w="30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Does this earning enter the current-period SSO-eligible base?</w:t>
            </w:r>
          </w:p>
        </w:tc>
        <w:tc>
          <w:tcPr>
            <w:tcW w:type="dxa" w:w="26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 if eligibility is unknown.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regularity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regular / irregular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Is the earning expected each period or a one-time item?</w:t>
            </w:r>
          </w:p>
        </w:tc>
        <w:tc>
          <w:tcPr>
            <w:tcW w:type="dxa" w:w="2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Do not infer from the label alone.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annualization_method</w:t>
            </w:r>
          </w:p>
        </w:tc>
        <w:tc>
          <w:tcPr>
            <w:tcW w:type="dxa" w:w="1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remaining-periods / current-period-only / none</w:t>
            </w:r>
          </w:p>
        </w:tc>
        <w:tc>
          <w:tcPr>
            <w:tcW w:type="dxa" w:w="30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How does the amount enter the annual estimate?</w:t>
            </w:r>
          </w:p>
        </w:tc>
        <w:tc>
          <w:tcPr>
            <w:tcW w:type="dxa" w:w="26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 unsupported methods.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Net-pay identity</w:t>
      </w:r>
    </w:p>
    <w:p>
      <w:pPr>
        <w:spacing w:before="40" w:after="120"/>
      </w:pPr>
      <w:r>
        <w:rPr>
          <w:rFonts w:ascii="Consolas" w:hAnsi="Consolas" w:eastAsia="Consolas" w:cs="Consolas"/>
          <w:b/>
          <w:color w:val="111111"/>
          <w:sz w:val="21"/>
        </w:rPr>
        <w:t>gross_pay - (sso_employee + estimated_withholding_tax + employee_deductions) = net_pay</w:t>
      </w:r>
    </w:p>
    <w:p>
      <w:r>
        <w:br w:type="page"/>
      </w:r>
    </w:p>
    <w:p>
      <w:pPr>
        <w:pStyle w:val="Heading1"/>
      </w:pPr>
      <w:r>
        <w:t>Privacy and data-handling rules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756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Control</w:t>
            </w:r>
          </w:p>
        </w:tc>
        <w:tc>
          <w:tcPr>
            <w:tcW w:type="dxa" w:w="75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Requirement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Allowed</w:t>
            </w:r>
          </w:p>
        </w:tc>
        <w:tc>
          <w:tcPr>
            <w:tcW w:type="dxa" w:w="7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Fictional codes and names; synthetic amounts; approved training rules; local evidence IDs.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Never use</w:t>
            </w:r>
          </w:p>
        </w:tc>
        <w:tc>
          <w:tcPr>
            <w:tcW w:type="dxa" w:w="75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Real names, national IDs, salaries, bank details, tax records, Social Security records, or live access credentials.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Storage</w:t>
            </w:r>
          </w:p>
        </w:tc>
        <w:tc>
          <w:tcPr>
            <w:tcW w:type="dxa" w:w="7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Keep files in the approved local workshop folder; the browser prototype has no persistent storage.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Retention</w:t>
            </w:r>
          </w:p>
        </w:tc>
        <w:tc>
          <w:tcPr>
            <w:tcW w:type="dxa" w:w="75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Delete synthetic assessment copies after the course QA period according to the training owner’s instruction.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Publication</w:t>
            </w:r>
          </w:p>
        </w:tc>
        <w:tc>
          <w:tcPr>
            <w:tcW w:type="dxa" w:w="7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No public publication. CSV and print drafts are review evidence, not employee documents.</w:t>
            </w:r>
          </w:p>
        </w:tc>
      </w:tr>
    </w:tbl>
    <w:p>
      <w:pPr>
        <w:spacing w:before="80" w:after="80"/>
      </w:pP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Minimize fields: keep only what the test or reconciliation needs.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Redact or replace any real-party reference before data enters the workshop folder.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Do not copy classroom records to email, chat, shared drives, or remote services.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Record the data owner, allowed purpose, classification, redaction decision, retention, and publication permission.</w:t>
      </w:r>
    </w:p>
    <w:p>
      <w:r>
        <w:br w:type="page"/>
      </w:r>
    </w:p>
    <w:p>
      <w:pPr>
        <w:pStyle w:val="Heading1"/>
      </w:pPr>
      <w:r>
        <w:t>Twelve-case test matrix</w:t>
      </w:r>
    </w:p>
    <w:p>
      <w:pPr>
        <w:keepNext/>
      </w:pPr>
      <w:r>
        <w:t>Expected values are independent literals. PASS means the prototype matches the training expectation or correctly blocks the unsafe scenario; it does not mean the rule is legally current.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600"/>
        <w:gridCol w:w="1300"/>
        <w:gridCol w:w="3160"/>
        <w:gridCol w:w="3300"/>
      </w:tblGrid>
      <w:tr>
        <w:trPr>
          <w:tblHeader w:val="true"/>
          <w:cantSplit/>
        </w:trPr>
        <w:tc>
          <w:tcPr>
            <w:tcW w:type="dxa" w:w="16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Case</w:t>
            </w:r>
          </w:p>
        </w:tc>
        <w:tc>
          <w:tcPr>
            <w:tcW w:type="dxa" w:w="1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Category</w:t>
            </w:r>
          </w:p>
        </w:tc>
        <w:tc>
          <w:tcPr>
            <w:tcW w:type="dxa" w:w="31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Scenario</w:t>
            </w:r>
          </w:p>
        </w:tc>
        <w:tc>
          <w:tcPr>
            <w:tcW w:type="dxa" w:w="3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Expected result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pit-boundaries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tax</w:t>
            </w:r>
          </w:p>
        </w:tc>
        <w:tc>
          <w:tcPr>
            <w:tcW w:type="dxa" w:w="3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Eight independent progressive-tax boundaries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150000=0; 300000=7500; 500000=27500; 750000=65000; 1000000=115000; 2000000=365000; 5000000=1265000; 5100000=1300000</w:t>
            </w:r>
          </w:p>
        </w:tc>
      </w:tr>
      <w:tr>
        <w:trPr>
          <w:cantSplit/>
        </w:trPr>
        <w:tc>
          <w:tcPr>
            <w:tcW w:type="dxa" w:w="1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standard-net-pay</w:t>
            </w:r>
          </w:p>
        </w:tc>
        <w:tc>
          <w:tcPr>
            <w:tcW w:type="dxa" w:w="1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payroll</w:t>
            </w:r>
          </w:p>
        </w:tc>
        <w:tc>
          <w:tcPr>
            <w:tcW w:type="dxa" w:w="31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THB 50,000 base salary for twelve remaining periods</w:t>
            </w:r>
          </w:p>
        </w:tc>
        <w:tc>
          <w:tcPr>
            <w:tcW w:type="dxa" w:w="3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SSO 875; annual PIT 20450; period PIT 1704.17; net 47420.83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salary-change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true-up</w:t>
            </w:r>
          </w:p>
        </w:tc>
        <w:tc>
          <w:tcPr>
            <w:tcW w:type="dxa" w:w="3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THB 40,000 Jan-Jun then THB 60,000 Jul-Dec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Original PIT 8450; Jan-Jun 704.17; recomputed PIT 20450; Jul-Nov 2704.16; Dec 2704.18</w:t>
            </w:r>
          </w:p>
        </w:tc>
      </w:tr>
      <w:tr>
        <w:trPr>
          <w:cantSplit/>
        </w:trPr>
        <w:tc>
          <w:tcPr>
            <w:tcW w:type="dxa" w:w="1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bonus-withholding</w:t>
            </w:r>
          </w:p>
        </w:tc>
        <w:tc>
          <w:tcPr>
            <w:tcW w:type="dxa" w:w="1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irregular earning</w:t>
            </w:r>
          </w:p>
        </w:tc>
        <w:tc>
          <w:tcPr>
            <w:tcW w:type="dxa" w:w="31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THB 100,000 one-time bonus with THB 50,000 base salary</w:t>
            </w:r>
          </w:p>
        </w:tc>
        <w:tc>
          <w:tcPr>
            <w:tcW w:type="dxa" w:w="3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Annual PIT 31925; incremental 11475; period withholding 13179.17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sso-cap-boundary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sso</w:t>
            </w:r>
          </w:p>
        </w:tc>
        <w:tc>
          <w:tcPr>
            <w:tcW w:type="dxa" w:w="3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Base salaries immediately below, at, and above the THB 17,500 training cap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17499=874.95; 17500=875; 17501=875</w:t>
            </w:r>
          </w:p>
        </w:tc>
      </w:tr>
      <w:tr>
        <w:trPr>
          <w:cantSplit/>
        </w:trPr>
        <w:tc>
          <w:tcPr>
            <w:tcW w:type="dxa" w:w="1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rounding</w:t>
            </w:r>
          </w:p>
        </w:tc>
        <w:tc>
          <w:tcPr>
            <w:tcW w:type="dxa" w:w="1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rounding</w:t>
            </w:r>
          </w:p>
        </w:tc>
        <w:tc>
          <w:tcPr>
            <w:tcW w:type="dxa" w:w="31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Withholding and net values use two-decimal half-up training output</w:t>
            </w:r>
          </w:p>
        </w:tc>
        <w:tc>
          <w:tcPr>
            <w:tcW w:type="dxa" w:w="3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All displayed currency values reconcile to 0.00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mid-year-start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annualization</w:t>
            </w:r>
          </w:p>
        </w:tc>
        <w:tc>
          <w:tcPr>
            <w:tcW w:type="dxa" w:w="3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Synthetic employee starts with six remaining periods and no YTD earnings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Base salary annualizes over six remaining periods only</w:t>
            </w:r>
          </w:p>
        </w:tc>
      </w:tr>
      <w:tr>
        <w:trPr>
          <w:cantSplit/>
        </w:trPr>
        <w:tc>
          <w:tcPr>
            <w:tcW w:type="dxa" w:w="1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ytd-carry-forward</w:t>
            </w:r>
          </w:p>
        </w:tc>
        <w:tc>
          <w:tcPr>
            <w:tcW w:type="dxa" w:w="1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annualization</w:t>
            </w:r>
          </w:p>
        </w:tc>
        <w:tc>
          <w:tcPr>
            <w:tcW w:type="dxa" w:w="31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YTD gross and withholding are carried into a recomputation</w:t>
            </w:r>
          </w:p>
        </w:tc>
        <w:tc>
          <w:tcPr>
            <w:tcW w:type="dxa" w:w="3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Remaining withholding equals annual PIT less YTD withholding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province-date-override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rule selection</w:t>
            </w:r>
          </w:p>
        </w:tc>
        <w:tc>
          <w:tcPr>
            <w:tcW w:type="dxa" w:w="3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Bangkok override becomes effective on 2026-07-01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National fallback before July; Bangkok override from July</w:t>
            </w:r>
          </w:p>
        </w:tc>
      </w:tr>
      <w:tr>
        <w:trPr>
          <w:cantSplit/>
        </w:trPr>
        <w:tc>
          <w:tcPr>
            <w:tcW w:type="dxa" w:w="1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missing-evidence</w:t>
            </w:r>
          </w:p>
        </w:tc>
        <w:tc>
          <w:tcPr>
            <w:tcW w:type="dxa" w:w="1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control</w:t>
            </w:r>
          </w:p>
        </w:tc>
        <w:tc>
          <w:tcPr>
            <w:tcW w:type="dxa" w:w="31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Allowance is entered without an evidence reference</w:t>
            </w:r>
          </w:p>
        </w:tc>
        <w:tc>
          <w:tcPr>
            <w:tcW w:type="dxa" w:w="3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BLOCKED: ALLOWANCE_EVIDENCE_REQUIRED</w:t>
            </w:r>
          </w:p>
        </w:tc>
      </w:tr>
      <w:tr>
        <w:trPr>
          <w:cantSplit/>
        </w:trPr>
        <w:tc>
          <w:tcPr>
            <w:tcW w:type="dxa" w:w="1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unsupported-class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control</w:t>
            </w:r>
          </w:p>
        </w:tc>
        <w:tc>
          <w:tcPr>
            <w:tcW w:type="dxa" w:w="3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Daily worker is evaluated with regular-monthly rules</w:t>
            </w:r>
          </w:p>
        </w:tc>
        <w:tc>
          <w:tcPr>
            <w:tcW w:type="dxa" w:w="3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BLOCKED: UNSUPPORTED_EMPLOYEE_CLASS</w:t>
            </w:r>
          </w:p>
        </w:tc>
      </w:tr>
      <w:tr>
        <w:trPr>
          <w:cantSplit/>
        </w:trPr>
        <w:tc>
          <w:tcPr>
            <w:tcW w:type="dxa" w:w="1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blocking-controls</w:t>
            </w:r>
          </w:p>
        </w:tc>
        <w:tc>
          <w:tcPr>
            <w:tcW w:type="dxa" w:w="1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control</w:t>
            </w:r>
          </w:p>
        </w:tc>
        <w:tc>
          <w:tcPr>
            <w:tcW w:type="dxa" w:w="31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Missing mapping, rule metadata, or negative net pay</w:t>
            </w:r>
          </w:p>
        </w:tc>
        <w:tc>
          <w:tcPr>
            <w:tcW w:type="dxa" w:w="3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Each unsafe input returns BLOCKED with an actionable exception</w:t>
            </w:r>
          </w:p>
        </w:tc>
      </w:tr>
    </w:tbl>
    <w:p>
      <w:pPr>
        <w:spacing w:before="80" w:after="80"/>
      </w:pPr>
    </w:p>
    <w:p>
      <w:pPr>
        <w:pStyle w:val="Heading1"/>
      </w:pPr>
      <w:r>
        <w:t>Known limitations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supported class is regular-monthly only; daily, hourly, contractor, expatriate, retroactive, termination, and special-benefit cases are outside scope.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annualization model is a training approximation. It does not replace official payroll, tax, Social Security, labour-law, or benefits calculations.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Commission, bonus, allowance, and other irregular items require approved mapping and evidence; the prototype does not infer legal treatment.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There is no authentication, database, email, bank connection, filing, remittance, ERP posting, employee delivery, or automated publication.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Official rules and URLs may change. An approved owner must refresh and retest rules before each workshop. Non-training use is outside this guide and requires a separately designed, validated, and governed project.</w:t>
      </w:r>
    </w:p>
    <w:p>
      <w:pPr>
        <w:pStyle w:val="Heading1"/>
      </w:pPr>
      <w:r>
        <w:t>Human review checklist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Confirm synthetic-only inputs and the supported employee class/province/date scope.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Verify approval status, reviewer, source URLs, effective dates, and every code mapping.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Run all twelve golden cases and retain the results without changing the source fixtures.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Reconcile row identities and total gross, deductions, net, calculated count, and blocked count.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Keep DRAFT · TRAINING ONLY and the full Thai warning visible on screen, print, and CSV evidence.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Record HR/Payroll/Finance classroom-review evidence; this never authorizes operational use, employee delivery, payment, filing, remittance, or submission.</w:t>
      </w:r>
    </w:p>
    <w:sectPr w:rsidR="00FC693F" w:rsidRPr="0006063C" w:rsidSect="00034616"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TRAINING REFERENCE · ZENITYX HR PAYROLL SANDBOX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TRAINING REFERENCE · ZENITYX HR PAYROLL SANDBOX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TRAINING REFERENCE · ZENITYX HR PAYROLL SANDBOX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Tahoma" w:hAnsi="Tahoma" w:eastAsia="Tahoma"/>
      <w:b/>
      <w:bCs/>
      <w:color w:val="D819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Tahoma" w:hAnsi="Tahoma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40" w:lineRule="auto"/>
    </w:pPr>
    <w:rPr>
      <w:rFonts w:asciiTheme="majorHAnsi" w:eastAsiaTheme="majorEastAsia" w:hAnsiTheme="majorHAnsi" w:cstheme="majorBidi" w:ascii="Tahoma" w:hAnsi="Tahoma"/>
      <w:i/>
      <w:iCs/>
      <w:color w:val="62626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Calculation &amp; Data-Handling Guide</dc:title>
  <dc:subject>ZenityX HR Payroll Sandbox training reference</dc:subject>
  <dc:creator>ZenityX Training</dc:creator>
  <cp:keywords>synthetic payroll, training, reconciliation, privacy</cp:keywords>
  <dc:description>generated by python-docx</dc:description>
  <cp:lastModifiedBy/>
  <cp:revision>1</cp:revision>
  <dcterms:created xsi:type="dcterms:W3CDTF">2026-08-09T00:00:00Z</dcterms:created>
  <dcterms:modified xsi:type="dcterms:W3CDTF">2026-08-09T00:00:00Z</dcterms:modified>
  <cp:category/>
</cp:coreProperties>
</file>